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0" w:firstLine="0" w:firstLineChars="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4：</w:t>
      </w:r>
    </w:p>
    <w:p>
      <w:pPr>
        <w:adjustRightInd w:val="0"/>
        <w:snapToGrid w:val="0"/>
        <w:spacing w:line="570" w:lineRule="exact"/>
        <w:jc w:val="center"/>
        <w:outlineLvl w:val="0"/>
        <w:rPr>
          <w:rFonts w:hint="eastAsia" w:eastAsia="方正小标宋简体" w:cs="方正小标宋简体"/>
          <w:sz w:val="44"/>
          <w:szCs w:val="44"/>
        </w:rPr>
      </w:pPr>
    </w:p>
    <w:p>
      <w:pPr>
        <w:adjustRightInd w:val="0"/>
        <w:snapToGrid w:val="0"/>
        <w:spacing w:line="570" w:lineRule="exact"/>
        <w:jc w:val="center"/>
        <w:outlineLvl w:val="0"/>
        <w:rPr>
          <w:rFonts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eastAsia="方正小标宋简体" w:cs="方正小标宋简体"/>
          <w:sz w:val="44"/>
          <w:szCs w:val="44"/>
        </w:rPr>
        <w:t>温州市人才住房租售并举实施办法</w:t>
      </w:r>
    </w:p>
    <w:p>
      <w:pPr>
        <w:adjustRightInd w:val="0"/>
        <w:snapToGrid w:val="0"/>
        <w:spacing w:line="570" w:lineRule="exact"/>
        <w:jc w:val="center"/>
        <w:outlineLvl w:val="0"/>
        <w:rPr>
          <w:rFonts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贡献积分指标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根据《温州市人才住房租售并举实施办法》（温委办发〔</w:t>
      </w:r>
      <w:r>
        <w:rPr>
          <w:rFonts w:hint="eastAsia" w:eastAsia="仿宋_GB2312" w:cs="仿宋_GB2312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eastAsia="仿宋_GB2312" w:cs="仿宋_GB2312"/>
          <w:sz w:val="32"/>
          <w:szCs w:val="32"/>
        </w:rPr>
        <w:t>70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号）第四条规定要求，现设定中小学（幼儿园）、医疗卫生机构人才贡献积分指标及分值，具体如下：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一、贡献成果</w:t>
      </w:r>
      <w:r>
        <w:rPr>
          <w:rFonts w:hint="eastAsia" w:ascii="仿宋_GB2312" w:hAnsi="仿宋_GB2312" w:eastAsia="仿宋_GB2312" w:cs="仿宋_GB2312"/>
          <w:sz w:val="32"/>
          <w:szCs w:val="32"/>
        </w:rPr>
        <w:t>（采取积分制，可叠加计分）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eastAsia="楷体" w:cs="楷体"/>
          <w:sz w:val="32"/>
          <w:szCs w:val="32"/>
        </w:rPr>
        <w:t>1</w:t>
      </w:r>
      <w:r>
        <w:rPr>
          <w:rFonts w:hint="eastAsia" w:ascii="楷体" w:hAnsi="楷体" w:eastAsia="楷体" w:cs="楷体"/>
          <w:sz w:val="32"/>
          <w:szCs w:val="32"/>
        </w:rPr>
        <w:t>.论文类：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第一作者或通讯作者发表</w:t>
      </w:r>
      <w:r>
        <w:rPr>
          <w:rFonts w:hint="eastAsia" w:ascii="Times New Roman" w:eastAsia="仿宋_GB2312" w:cs="仿宋_GB2312"/>
          <w:sz w:val="32"/>
          <w:szCs w:val="32"/>
        </w:rPr>
        <w:t>SCI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、</w:t>
      </w:r>
      <w:r>
        <w:rPr>
          <w:rFonts w:hint="eastAsia" w:ascii="Times New Roman" w:eastAsia="仿宋_GB2312" w:cs="仿宋_GB2312"/>
          <w:sz w:val="32"/>
          <w:szCs w:val="32"/>
        </w:rPr>
        <w:t>SSCI</w:t>
      </w:r>
      <w:r>
        <w:rPr>
          <w:rFonts w:hint="eastAsia" w:ascii="仿宋_GB2312" w:hAnsi="仿宋_GB2312" w:eastAsia="仿宋_GB2312" w:cs="仿宋_GB2312"/>
          <w:sz w:val="32"/>
          <w:szCs w:val="32"/>
        </w:rPr>
        <w:t>一区收录论文（或《中国社会科学》《新华文摘》全文转载）</w:t>
      </w:r>
      <w:r>
        <w:rPr>
          <w:rFonts w:hint="eastAsia" w:asci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篇计</w:t>
      </w:r>
      <w:r>
        <w:rPr>
          <w:rFonts w:hint="eastAsia" w:ascii="Times New Roman" w:eastAsia="仿宋_GB2312" w:cs="仿宋_GB2312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</w:t>
      </w:r>
      <w:r>
        <w:rPr>
          <w:rFonts w:hint="eastAsia" w:ascii="Times New Roman" w:eastAsia="仿宋_GB2312" w:cs="仿宋_GB2312"/>
          <w:sz w:val="32"/>
          <w:szCs w:val="32"/>
        </w:rPr>
        <w:t>SCI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Times New Roman" w:eastAsia="仿宋_GB2312" w:cs="仿宋_GB2312"/>
          <w:sz w:val="32"/>
          <w:szCs w:val="32"/>
        </w:rPr>
        <w:t>SSCI</w:t>
      </w:r>
      <w:r>
        <w:rPr>
          <w:rFonts w:hint="eastAsia" w:ascii="仿宋_GB2312" w:hAnsi="仿宋_GB2312" w:eastAsia="仿宋_GB2312" w:cs="仿宋_GB2312"/>
          <w:sz w:val="32"/>
          <w:szCs w:val="32"/>
        </w:rPr>
        <w:t>二区收录论文（或</w:t>
      </w:r>
      <w:r>
        <w:rPr>
          <w:rFonts w:hint="eastAsia" w:ascii="Times New Roman" w:eastAsia="仿宋_GB2312" w:cs="仿宋_GB2312"/>
          <w:sz w:val="32"/>
          <w:szCs w:val="32"/>
        </w:rPr>
        <w:t>AHCI</w:t>
      </w:r>
      <w:r>
        <w:rPr>
          <w:rFonts w:hint="eastAsia" w:ascii="仿宋_GB2312" w:hAnsi="仿宋_GB2312" w:eastAsia="仿宋_GB2312" w:cs="仿宋_GB2312"/>
          <w:sz w:val="32"/>
          <w:szCs w:val="32"/>
        </w:rPr>
        <w:t>源期刊、浙大标准人文社科类权威期刊论文）</w:t>
      </w:r>
      <w:r>
        <w:rPr>
          <w:rFonts w:hint="eastAsia" w:asci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篇计</w:t>
      </w:r>
      <w:r>
        <w:rPr>
          <w:rFonts w:hint="eastAsia" w:ascii="Times New Roman" w:eastAsia="仿宋_GB2312" w:cs="仿宋_GB2312"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</w:t>
      </w:r>
      <w:r>
        <w:rPr>
          <w:rFonts w:hint="eastAsia" w:ascii="Times New Roman" w:eastAsia="仿宋_GB2312" w:cs="仿宋_GB2312"/>
          <w:sz w:val="32"/>
          <w:szCs w:val="32"/>
        </w:rPr>
        <w:t>SCI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Times New Roman" w:eastAsia="仿宋_GB2312" w:cs="仿宋_GB2312"/>
          <w:sz w:val="32"/>
          <w:szCs w:val="32"/>
        </w:rPr>
        <w:t>SSCI</w:t>
      </w:r>
      <w:r>
        <w:rPr>
          <w:rFonts w:hint="eastAsia" w:ascii="仿宋_GB2312" w:hAnsi="仿宋_GB2312" w:eastAsia="仿宋_GB2312" w:cs="仿宋_GB2312"/>
          <w:sz w:val="32"/>
          <w:szCs w:val="32"/>
        </w:rPr>
        <w:t>三区收录论文（或浙大标准人文社科类一级期刊论文）</w:t>
      </w:r>
      <w:r>
        <w:rPr>
          <w:rFonts w:hint="eastAsia" w:asci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篇计</w:t>
      </w:r>
      <w:r>
        <w:rPr>
          <w:rFonts w:hint="eastAsia" w:ascii="Times New Roman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</w:t>
      </w:r>
      <w:r>
        <w:rPr>
          <w:rFonts w:hint="eastAsia" w:ascii="Times New Roman" w:eastAsia="仿宋_GB2312" w:cs="仿宋_GB2312"/>
          <w:sz w:val="32"/>
          <w:szCs w:val="32"/>
        </w:rPr>
        <w:t>SCI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Times New Roman" w:eastAsia="仿宋_GB2312" w:cs="仿宋_GB2312"/>
          <w:sz w:val="32"/>
          <w:szCs w:val="32"/>
        </w:rPr>
        <w:t>SSCI</w:t>
      </w:r>
      <w:r>
        <w:rPr>
          <w:rFonts w:hint="eastAsia" w:ascii="仿宋_GB2312" w:hAnsi="仿宋_GB2312" w:eastAsia="仿宋_GB2312" w:cs="仿宋_GB2312"/>
          <w:sz w:val="32"/>
          <w:szCs w:val="32"/>
        </w:rPr>
        <w:t>四区收录论文（或</w:t>
      </w:r>
      <w:r>
        <w:rPr>
          <w:rFonts w:hint="eastAsia" w:ascii="Times New Roman" w:eastAsia="仿宋_GB2312" w:cs="仿宋_GB2312"/>
          <w:sz w:val="32"/>
          <w:szCs w:val="32"/>
        </w:rPr>
        <w:t>CSSC</w:t>
      </w:r>
      <w:r>
        <w:rPr>
          <w:rFonts w:hint="eastAsia" w:ascii="仿宋_GB2312" w:hAnsi="仿宋_GB2312" w:eastAsia="仿宋_GB2312" w:cs="仿宋_GB2312"/>
          <w:sz w:val="32"/>
          <w:szCs w:val="32"/>
        </w:rPr>
        <w:t>Ⅰ来源期刊论文）</w:t>
      </w:r>
      <w:r>
        <w:rPr>
          <w:rFonts w:hint="eastAsia" w:asci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篇计</w:t>
      </w:r>
      <w:r>
        <w:rPr>
          <w:rFonts w:hint="eastAsia" w:ascii="Times New Roman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分；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eastAsia="楷体" w:cs="楷体"/>
          <w:sz w:val="32"/>
          <w:szCs w:val="32"/>
        </w:rPr>
        <w:t>2</w:t>
      </w:r>
      <w:r>
        <w:rPr>
          <w:rFonts w:hint="eastAsia" w:ascii="楷体" w:hAnsi="楷体" w:eastAsia="楷体" w:cs="楷体"/>
          <w:sz w:val="32"/>
          <w:szCs w:val="32"/>
        </w:rPr>
        <w:t>.专利类：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授权发明专利</w:t>
      </w:r>
      <w:r>
        <w:rPr>
          <w:rFonts w:hint="eastAsia" w:asci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项计</w:t>
      </w:r>
      <w:r>
        <w:rPr>
          <w:rFonts w:hint="eastAsia" w:ascii="Times New Roman" w:eastAsia="仿宋_GB2312" w:cs="仿宋_GB2312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分，授权实用新型专利</w:t>
      </w:r>
      <w:r>
        <w:rPr>
          <w:rFonts w:hint="eastAsia" w:asci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项计</w:t>
      </w:r>
      <w:r>
        <w:rPr>
          <w:rFonts w:hint="eastAsia" w:ascii="Times New Roman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分，授权外观设计专利</w:t>
      </w:r>
      <w:r>
        <w:rPr>
          <w:rFonts w:hint="eastAsia" w:asci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项计</w:t>
      </w:r>
      <w:r>
        <w:rPr>
          <w:rFonts w:hint="eastAsia" w:ascii="Times New Roman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分，计算机软件著作权登记</w:t>
      </w:r>
      <w:r>
        <w:rPr>
          <w:rFonts w:hint="eastAsia" w:asci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项计</w:t>
      </w:r>
      <w:r>
        <w:rPr>
          <w:rFonts w:hint="eastAsia" w:ascii="Times New Roman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分；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eastAsia="楷体" w:cs="楷体"/>
          <w:sz w:val="32"/>
          <w:szCs w:val="32"/>
        </w:rPr>
        <w:t>3</w:t>
      </w:r>
      <w:r>
        <w:rPr>
          <w:rFonts w:hint="eastAsia" w:ascii="楷体" w:hAnsi="楷体" w:eastAsia="楷体" w:cs="楷体"/>
          <w:sz w:val="32"/>
          <w:szCs w:val="32"/>
        </w:rPr>
        <w:t>.课题类：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主持国家级科研项目计</w:t>
      </w:r>
      <w:r>
        <w:rPr>
          <w:rFonts w:hint="eastAsia" w:ascii="Times New Roman" w:eastAsia="仿宋_GB2312" w:cs="仿宋_GB2312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分、省部级科研项目计 </w:t>
      </w:r>
      <w:r>
        <w:rPr>
          <w:rFonts w:hint="eastAsia" w:ascii="Times New Roman" w:eastAsia="仿宋_GB2312" w:cs="仿宋_GB2312"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分、市厅级重大科研项目计</w:t>
      </w:r>
      <w:r>
        <w:rPr>
          <w:rFonts w:hint="eastAsia" w:ascii="Times New Roman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分、市厅级一般项目计</w:t>
      </w:r>
      <w:r>
        <w:rPr>
          <w:rFonts w:hint="eastAsia" w:ascii="Times New Roman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分，参与国家级重大、重点科研项目(排名前</w:t>
      </w:r>
      <w:r>
        <w:rPr>
          <w:rFonts w:hint="eastAsia" w:ascii="Times New Roman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位)计</w:t>
      </w:r>
      <w:r>
        <w:rPr>
          <w:rFonts w:hint="eastAsia" w:ascii="Times New Roman" w:eastAsia="仿宋_GB2312" w:cs="仿宋_GB2312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分，课题类不包括会议资助项目和自筹项目；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eastAsia="楷体" w:cs="楷体"/>
          <w:sz w:val="32"/>
          <w:szCs w:val="32"/>
        </w:rPr>
        <w:t>4</w:t>
      </w:r>
      <w:r>
        <w:rPr>
          <w:rFonts w:hint="eastAsia" w:ascii="楷体" w:hAnsi="楷体" w:eastAsia="楷体" w:cs="楷体"/>
          <w:sz w:val="32"/>
          <w:szCs w:val="32"/>
        </w:rPr>
        <w:t>.标准类：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为主制修订国际标准</w:t>
      </w:r>
      <w:r>
        <w:rPr>
          <w:rFonts w:hint="eastAsia" w:asci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项计</w:t>
      </w:r>
      <w:r>
        <w:rPr>
          <w:rFonts w:hint="eastAsia" w:ascii="Times New Roman" w:eastAsia="仿宋_GB2312" w:cs="仿宋_GB2312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分、国家标准</w:t>
      </w:r>
      <w:r>
        <w:rPr>
          <w:rFonts w:hint="eastAsia" w:asci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项计</w:t>
      </w:r>
      <w:r>
        <w:rPr>
          <w:rFonts w:hint="eastAsia" w:ascii="Times New Roman" w:eastAsia="仿宋_GB2312" w:cs="仿宋_GB2312"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分、行业标准</w:t>
      </w:r>
      <w:r>
        <w:rPr>
          <w:rFonts w:hint="eastAsia" w:asci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项计</w:t>
      </w:r>
      <w:r>
        <w:rPr>
          <w:rFonts w:hint="eastAsia" w:ascii="Times New Roman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分，参与制修订积分减半计算；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eastAsia="楷体" w:cs="楷体"/>
          <w:sz w:val="32"/>
          <w:szCs w:val="32"/>
        </w:rPr>
        <w:t>5</w:t>
      </w:r>
      <w:r>
        <w:rPr>
          <w:rFonts w:hint="eastAsia" w:ascii="楷体" w:hAnsi="楷体" w:eastAsia="楷体" w:cs="楷体"/>
          <w:sz w:val="32"/>
          <w:szCs w:val="32"/>
        </w:rPr>
        <w:t>.奖项类：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市级及以上科学技术重大贡献奖、技术发明奖、科学技术进步奖一等奖、二等奖、三等奖获得者（前</w:t>
      </w:r>
      <w:r>
        <w:rPr>
          <w:rFonts w:hint="eastAsia" w:ascii="Times New Roman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完成人）计</w:t>
      </w:r>
      <w:r>
        <w:rPr>
          <w:rFonts w:hint="eastAsia" w:ascii="Times New Roman" w:eastAsia="仿宋_GB2312" w:cs="仿宋_GB2312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分；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eastAsia="楷体" w:cs="楷体"/>
          <w:sz w:val="32"/>
          <w:szCs w:val="32"/>
        </w:rPr>
        <w:t>6</w:t>
      </w:r>
      <w:r>
        <w:rPr>
          <w:rFonts w:hint="eastAsia" w:ascii="楷体" w:hAnsi="楷体" w:eastAsia="楷体" w:cs="楷体"/>
          <w:sz w:val="32"/>
          <w:szCs w:val="32"/>
        </w:rPr>
        <w:t>.考核类：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近五年年度考核等次优秀</w:t>
      </w:r>
      <w:r>
        <w:rPr>
          <w:rFonts w:hint="eastAsia" w:asci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次计</w:t>
      </w:r>
      <w:r>
        <w:rPr>
          <w:rFonts w:hint="eastAsia" w:ascii="Times New Roman" w:eastAsia="仿宋_GB2312" w:cs="仿宋_GB2312"/>
          <w:sz w:val="32"/>
          <w:szCs w:val="32"/>
        </w:rPr>
        <w:t>40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分；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eastAsia="楷体" w:cs="楷体"/>
          <w:sz w:val="32"/>
          <w:szCs w:val="32"/>
        </w:rPr>
        <w:t>7</w:t>
      </w:r>
      <w:r>
        <w:rPr>
          <w:rFonts w:hint="eastAsia" w:ascii="楷体" w:hAnsi="楷体" w:eastAsia="楷体" w:cs="楷体"/>
          <w:sz w:val="32"/>
          <w:szCs w:val="32"/>
        </w:rPr>
        <w:t>.其他类：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技术转让项目技术交易额累计达到</w:t>
      </w:r>
      <w:r>
        <w:rPr>
          <w:rFonts w:hint="eastAsia" w:ascii="Times New Roman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万及以上计</w:t>
      </w:r>
      <w:r>
        <w:rPr>
          <w:rFonts w:hint="eastAsia" w:ascii="Times New Roman" w:eastAsia="仿宋_GB2312" w:cs="仿宋_GB2312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分。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二、荣誉称号</w:t>
      </w:r>
      <w:r>
        <w:rPr>
          <w:rFonts w:hint="eastAsia" w:ascii="仿宋_GB2312" w:hAnsi="仿宋_GB2312" w:eastAsia="仿宋_GB2312" w:cs="仿宋_GB2312"/>
          <w:sz w:val="32"/>
          <w:szCs w:val="32"/>
        </w:rPr>
        <w:t>（采取达标制，获得一项即计</w:t>
      </w:r>
      <w:r>
        <w:rPr>
          <w:rFonts w:hint="eastAsia" w:ascii="Times New Roman" w:eastAsia="仿宋_GB2312" w:cs="仿宋_GB2312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分）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.县级及以上“劳动模范”“模范”“五一劳动奖”；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全国、省奥林匹克竞赛金牌获得者指导教师，省级“优秀教师”“优秀班主任”“优秀教育工作者”，市级及以上“师德楷模”“春蚕奖”“农村教师突出贡献奖”“学科骨干教师”，市“尊重教育、尊重人才突出贡献个人”，县级及以上“名师”“名班主任”“名校长”“教坛新秀”“教坛中坚”“教坛宿将”，以及经县级及以上教育部门认定的相当层次荣誉称号获得者；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“国医大师”“国家卫生计生突出贡献中青年专家”，温州市“瓯越名医”，县级及以上“名院长”“名医师”“名中医”“医坛新秀”“医德模范”“先进护理工作者”“优秀家庭医生”“最美温州人·最美医生护士”“十佳医生护士”，以及经县级及以上卫健部门认定的相当层次荣誉称号获得者。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三、学历职称</w:t>
      </w:r>
      <w:r>
        <w:rPr>
          <w:rFonts w:hint="eastAsia" w:ascii="仿宋_GB2312" w:hAnsi="仿宋_GB2312" w:eastAsia="仿宋_GB2312" w:cs="仿宋_GB2312"/>
          <w:sz w:val="32"/>
          <w:szCs w:val="32"/>
        </w:rPr>
        <w:t>（采取附加分制，选择一个项目计分）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.毕业于国内“双一流”建设高校（学科）计</w:t>
      </w:r>
      <w:r>
        <w:rPr>
          <w:rFonts w:hint="eastAsia" w:ascii="Times New Roman" w:eastAsia="仿宋_GB2312" w:cs="仿宋_GB2312"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分；</w:t>
      </w:r>
    </w:p>
    <w:p>
      <w:pPr>
        <w:pStyle w:val="4"/>
        <w:spacing w:before="0" w:beforeAutospacing="0" w:after="0" w:afterAutospacing="0" w:line="570" w:lineRule="exact"/>
        <w:ind w:firstLine="632" w:firstLineChars="200"/>
        <w:jc w:val="both"/>
        <w:rPr>
          <w:rFonts w:ascii="仿宋_GB2312" w:hAnsi="仿宋_GB2312" w:eastAsia="仿宋_GB2312" w:cs="仿宋_GB2312"/>
          <w:spacing w:val="-2"/>
          <w:sz w:val="32"/>
          <w:szCs w:val="32"/>
        </w:rPr>
      </w:pPr>
      <w:r>
        <w:rPr>
          <w:rFonts w:hint="eastAsia" w:ascii="Times New Roman" w:eastAsia="仿宋_GB2312" w:cs="仿宋_GB2312"/>
          <w:spacing w:val="-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.毕业于泰晤士高等教育世界大学排名前</w:t>
      </w:r>
      <w:r>
        <w:rPr>
          <w:rFonts w:hint="eastAsia" w:ascii="Times New Roman" w:eastAsia="仿宋_GB2312" w:cs="仿宋_GB2312"/>
          <w:spacing w:val="-2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高校计</w:t>
      </w:r>
      <w:r>
        <w:rPr>
          <w:rFonts w:hint="eastAsia" w:ascii="Times New Roman" w:eastAsia="仿宋_GB2312" w:cs="仿宋_GB2312"/>
          <w:spacing w:val="-2"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分；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.取得全日制硕士研究生学历计</w:t>
      </w:r>
      <w:r>
        <w:rPr>
          <w:rFonts w:hint="eastAsia" w:ascii="Times New Roman" w:eastAsia="仿宋_GB2312" w:cs="仿宋_GB2312"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分；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.在医疗卫生机构工作取得副高以上职称计</w:t>
      </w:r>
      <w:r>
        <w:rPr>
          <w:rFonts w:hint="eastAsia" w:ascii="Times New Roman" w:eastAsia="仿宋_GB2312" w:cs="仿宋_GB2312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分；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Times New Roman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在中小学（幼儿园）工作，取得中级及以上职称计</w:t>
      </w:r>
      <w:r>
        <w:rPr>
          <w:rFonts w:hint="eastAsia" w:ascii="Times New Roman" w:eastAsia="仿宋_GB2312" w:cs="仿宋_GB2312"/>
          <w:spacing w:val="-4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分。</w:t>
      </w:r>
    </w:p>
    <w:p>
      <w:pPr>
        <w:pStyle w:val="2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172F8"/>
    <w:rsid w:val="03D172F8"/>
    <w:rsid w:val="5A99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  <w:rPr>
      <w:rFonts w:ascii="Calibri" w:hAnsi="Calibri" w:eastAsia="文星简小标宋"/>
      <w:sz w:val="44"/>
      <w:szCs w:val="20"/>
    </w:rPr>
  </w:style>
  <w:style w:type="paragraph" w:styleId="3">
    <w:name w:val="Body Text"/>
    <w:basedOn w:val="1"/>
    <w:next w:val="2"/>
    <w:qFormat/>
    <w:uiPriority w:val="99"/>
    <w:pPr>
      <w:ind w:left="111"/>
    </w:pPr>
    <w:rPr>
      <w:rFonts w:ascii="仿宋_GB2312" w:hAnsi="仿宋_GB2312" w:eastAsia="仿宋_GB2312" w:cs="仿宋_GB2312"/>
      <w:sz w:val="31"/>
      <w:szCs w:val="31"/>
      <w:lang w:val="zh-CN" w:bidi="zh-CN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2021-03-24T08:35:00Z</dcterms:created>
  <dc:creator>明天</dc:creator>
  <cp:lastModifiedBy>帅哥彪</cp:lastModifiedBy>
  <dcterms:modified xsi:type="dcterms:W3CDTF">2021-05-21T08:27:31Z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7366101650684A55B0A99C1F44B39C1B</vt:lpwstr>
  </property>
</Properties>
</file>